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3A0EB1">
        <w:rPr>
          <w:rFonts w:ascii="Verdana" w:hAnsi="Verdana" w:cs="Arial"/>
          <w:sz w:val="20"/>
          <w:szCs w:val="20"/>
        </w:rPr>
        <w:t>6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E31991">
        <w:rPr>
          <w:rFonts w:ascii="Verdana" w:hAnsi="Verdana" w:cs="Arial"/>
          <w:sz w:val="20"/>
          <w:szCs w:val="20"/>
        </w:rPr>
        <w:t>Oktober</w:t>
      </w:r>
      <w:bookmarkStart w:id="0" w:name="_GoBack"/>
      <w:bookmarkEnd w:id="0"/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3A0EB1">
        <w:rPr>
          <w:rFonts w:ascii="Verdana" w:hAnsi="Verdana" w:cs="Arial"/>
          <w:sz w:val="20"/>
          <w:szCs w:val="20"/>
        </w:rPr>
        <w:t>6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1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Netzwerk der Besten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92174B" w:rsidRDefault="0013437B" w:rsidP="0016717E">
      <w:pPr>
        <w:spacing w:after="0"/>
        <w:rPr>
          <w:rFonts w:ascii="Verdana" w:hAnsi="Verdana" w:cs="Arial"/>
          <w:color w:val="0000FF"/>
        </w:rPr>
      </w:pPr>
      <w:r>
        <w:rPr>
          <w:rFonts w:ascii="Verdana" w:hAnsi="Verdana" w:cs="Arial"/>
          <w:b/>
          <w:color w:val="0000FF"/>
        </w:rPr>
        <w:t xml:space="preserve">5 Fakten zu den </w:t>
      </w:r>
      <w:r w:rsidR="00891A35" w:rsidRPr="0092174B">
        <w:rPr>
          <w:rFonts w:ascii="Verdana" w:hAnsi="Verdana" w:cs="Arial"/>
          <w:b/>
          <w:color w:val="0000FF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3A0EB1" w:rsidRPr="00863426">
        <w:rPr>
          <w:rFonts w:ascii="Verdana" w:hAnsi="Verdana" w:cs="Arial"/>
          <w:b/>
          <w:sz w:val="20"/>
          <w:szCs w:val="20"/>
        </w:rPr>
        <w:t>2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3A0EB1" w:rsidRPr="00863426">
        <w:rPr>
          <w:rFonts w:ascii="Verdana" w:hAnsi="Verdana" w:cs="Arial"/>
          <w:b/>
          <w:i/>
          <w:sz w:val="20"/>
          <w:szCs w:val="20"/>
        </w:rPr>
        <w:t>6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4.796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92174B" w:rsidRDefault="005B55BB" w:rsidP="00283BF3">
      <w:pPr>
        <w:spacing w:after="0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  <w:sz w:val="24"/>
          <w:szCs w:val="24"/>
        </w:rPr>
        <w:t>10</w:t>
      </w:r>
      <w:r w:rsidR="0092174B" w:rsidRPr="0092174B">
        <w:rPr>
          <w:rFonts w:ascii="Verdana" w:hAnsi="Verdana" w:cs="Arial"/>
          <w:b/>
          <w:color w:val="0000FF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  <w:sz w:val="24"/>
          <w:szCs w:val="24"/>
        </w:rPr>
        <w:t>Fakten</w:t>
      </w:r>
      <w:r w:rsidR="00891A35" w:rsidRPr="0092174B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</w:rPr>
        <w:t xml:space="preserve">zu Kennziffern und Strategien der </w:t>
      </w:r>
      <w:r w:rsidR="005C3C61" w:rsidRPr="0092174B">
        <w:rPr>
          <w:rFonts w:ascii="Verdana" w:hAnsi="Verdana" w:cs="Arial"/>
          <w:b/>
          <w:color w:val="0000FF"/>
        </w:rPr>
        <w:t>Firmen</w:t>
      </w:r>
      <w:r w:rsidR="005C3C61" w:rsidRPr="0092174B">
        <w:rPr>
          <w:rFonts w:ascii="Verdana" w:hAnsi="Verdana" w:cs="Arial"/>
          <w:b/>
          <w:color w:val="FF0000"/>
        </w:rPr>
        <w:t xml:space="preserve"> </w:t>
      </w:r>
      <w:r w:rsidR="00891A35" w:rsidRPr="0092174B">
        <w:rPr>
          <w:rFonts w:ascii="Verdana" w:hAnsi="Verdana" w:cs="Arial"/>
          <w:b/>
          <w:color w:val="FF000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für den 2</w:t>
      </w:r>
      <w:r w:rsidR="003A0EB1">
        <w:rPr>
          <w:rFonts w:ascii="Verdana" w:hAnsi="Verdana" w:cs="Arial"/>
          <w:sz w:val="20"/>
          <w:szCs w:val="20"/>
        </w:rPr>
        <w:t>2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6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</w:t>
      </w:r>
      <w:r w:rsidR="0013437B">
        <w:rPr>
          <w:rFonts w:ascii="Verdana" w:hAnsi="Verdana" w:cs="Arial"/>
          <w:sz w:val="20"/>
          <w:szCs w:val="20"/>
        </w:rPr>
        <w:t>.</w:t>
      </w:r>
      <w:r w:rsidR="003A0EB1">
        <w:rPr>
          <w:rFonts w:ascii="Verdana" w:hAnsi="Verdana" w:cs="Arial"/>
          <w:sz w:val="20"/>
          <w:szCs w:val="20"/>
        </w:rPr>
        <w:t>7</w:t>
      </w:r>
      <w:r w:rsidR="0013437B">
        <w:rPr>
          <w:rFonts w:ascii="Verdana" w:hAnsi="Verdana" w:cs="Arial"/>
          <w:sz w:val="20"/>
          <w:szCs w:val="20"/>
        </w:rPr>
        <w:t>9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Die für den 2</w:t>
      </w:r>
      <w:r w:rsidR="003A0EB1">
        <w:rPr>
          <w:rFonts w:ascii="Verdana" w:hAnsi="Verdana" w:cs="Arial"/>
          <w:sz w:val="20"/>
          <w:szCs w:val="20"/>
        </w:rPr>
        <w:t>2</w:t>
      </w:r>
      <w:r w:rsidR="0013437B" w:rsidRPr="00133982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6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4.796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3A0EB1">
        <w:rPr>
          <w:rFonts w:ascii="Verdana" w:hAnsi="Verdana" w:cs="Arial"/>
          <w:sz w:val="20"/>
          <w:szCs w:val="20"/>
        </w:rPr>
        <w:t>5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3437B" w:rsidRPr="00133982">
        <w:rPr>
          <w:rFonts w:ascii="Verdana" w:hAnsi="Verdana" w:cs="Arial"/>
          <w:b/>
          <w:sz w:val="20"/>
          <w:szCs w:val="20"/>
        </w:rPr>
        <w:t>900</w:t>
      </w:r>
      <w:r w:rsidRPr="00133982">
        <w:rPr>
          <w:rFonts w:ascii="Verdana" w:hAnsi="Verdana" w:cs="Arial"/>
          <w:b/>
          <w:sz w:val="20"/>
          <w:szCs w:val="20"/>
        </w:rPr>
        <w:t>.000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Pr="00EB62A0">
        <w:rPr>
          <w:rFonts w:ascii="Verdana" w:hAnsi="Verdana" w:cs="Arial"/>
          <w:b/>
          <w:sz w:val="20"/>
          <w:szCs w:val="20"/>
        </w:rPr>
        <w:t>10.000 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Pr="00EB62A0">
        <w:rPr>
          <w:rFonts w:ascii="Verdana" w:hAnsi="Verdana" w:cs="Arial"/>
          <w:b/>
          <w:sz w:val="20"/>
          <w:szCs w:val="20"/>
        </w:rPr>
        <w:t>5</w:t>
      </w:r>
      <w:r w:rsidR="00133982" w:rsidRPr="00EB62A0">
        <w:rPr>
          <w:rFonts w:ascii="Verdana" w:hAnsi="Verdana" w:cs="Arial"/>
          <w:b/>
          <w:sz w:val="20"/>
          <w:szCs w:val="20"/>
        </w:rPr>
        <w:t>0</w:t>
      </w:r>
      <w:r w:rsidRPr="00EB62A0">
        <w:rPr>
          <w:rFonts w:ascii="Verdana" w:hAnsi="Verdana" w:cs="Arial"/>
          <w:b/>
          <w:sz w:val="20"/>
          <w:szCs w:val="20"/>
        </w:rPr>
        <w:t>.000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Sponsoringaktivitäten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3D38DC">
        <w:rPr>
          <w:rFonts w:ascii="Verdana" w:hAnsi="Verdana" w:cs="Arial"/>
          <w:b/>
          <w:sz w:val="20"/>
          <w:szCs w:val="20"/>
        </w:rPr>
        <w:t>50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D38DC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:rsidR="00891A35" w:rsidRPr="00DE1244" w:rsidRDefault="0092174B" w:rsidP="006C6DAC">
      <w:pPr>
        <w:spacing w:after="0" w:line="240" w:lineRule="auto"/>
        <w:rPr>
          <w:rFonts w:ascii="Verdana" w:hAnsi="Verdana" w:cs="Arial"/>
          <w:b/>
          <w:color w:val="0070C0"/>
          <w:sz w:val="24"/>
          <w:szCs w:val="24"/>
        </w:rPr>
      </w:pPr>
      <w:r w:rsidRPr="00DE1244">
        <w:rPr>
          <w:rFonts w:ascii="Verdana" w:hAnsi="Verdana" w:cs="Arial"/>
          <w:b/>
          <w:color w:val="0070C0"/>
          <w:sz w:val="24"/>
          <w:szCs w:val="24"/>
        </w:rPr>
        <w:t xml:space="preserve">5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Fakten zu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 xml:space="preserve">den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Sonderpreisen und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zur „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>Oskar-Patzelt-Stiftung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“</w:t>
      </w:r>
    </w:p>
    <w:p w:rsidR="00891A35" w:rsidRPr="003D38DC" w:rsidRDefault="00891A35" w:rsidP="006C6D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2000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3A0EB1">
        <w:rPr>
          <w:rFonts w:ascii="Verdana" w:hAnsi="Verdana" w:cs="Arial"/>
          <w:i/>
          <w:sz w:val="20"/>
          <w:szCs w:val="20"/>
        </w:rPr>
        <w:t xml:space="preserve">6 wurden bundesweit insgesamt </w:t>
      </w:r>
      <w:r w:rsidR="0013437B" w:rsidRPr="00EB62A0">
        <w:rPr>
          <w:rFonts w:ascii="Verdana" w:hAnsi="Verdana" w:cs="Arial"/>
          <w:i/>
          <w:sz w:val="20"/>
          <w:szCs w:val="20"/>
        </w:rPr>
        <w:t>8</w:t>
      </w:r>
      <w:r w:rsidR="003A0EB1">
        <w:rPr>
          <w:rFonts w:ascii="Verdana" w:hAnsi="Verdana" w:cs="Arial"/>
          <w:i/>
          <w:sz w:val="20"/>
          <w:szCs w:val="20"/>
        </w:rPr>
        <w:t>3</w:t>
      </w:r>
      <w:r w:rsidRPr="00EB62A0">
        <w:rPr>
          <w:rFonts w:ascii="Verdana" w:hAnsi="Verdana" w:cs="Arial"/>
          <w:i/>
          <w:sz w:val="20"/>
          <w:szCs w:val="20"/>
        </w:rPr>
        <w:t xml:space="preserve"> Kommunen und 4</w:t>
      </w:r>
      <w:r w:rsidR="003A0EB1">
        <w:rPr>
          <w:rFonts w:ascii="Verdana" w:hAnsi="Verdana" w:cs="Arial"/>
          <w:i/>
          <w:sz w:val="20"/>
          <w:szCs w:val="20"/>
        </w:rPr>
        <w:t>0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3A0EB1">
        <w:rPr>
          <w:rFonts w:ascii="Verdana" w:hAnsi="Verdana" w:cs="Arial"/>
          <w:sz w:val="20"/>
          <w:szCs w:val="20"/>
        </w:rPr>
        <w:t>3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3A0EB1">
        <w:rPr>
          <w:rFonts w:ascii="Verdana" w:hAnsi="Verdana" w:cs="Arial"/>
          <w:sz w:val="20"/>
          <w:szCs w:val="20"/>
        </w:rPr>
        <w:t>7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3A0EB1">
        <w:rPr>
          <w:rFonts w:ascii="Verdana" w:hAnsi="Verdana" w:cs="Arial"/>
          <w:sz w:val="20"/>
          <w:szCs w:val="20"/>
        </w:rPr>
        <w:t>22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in Berlin,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3A0EB1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 xml:space="preserve"> vergeben werden. </w:t>
      </w:r>
    </w:p>
    <w:p w:rsidR="00891A35" w:rsidRDefault="0013437B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3A0EB1">
        <w:rPr>
          <w:rFonts w:ascii="Verdana" w:hAnsi="Verdana" w:cs="Arial"/>
          <w:sz w:val="20"/>
          <w:szCs w:val="20"/>
        </w:rPr>
        <w:t>30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 w:rsidR="003A0EB1">
        <w:rPr>
          <w:rFonts w:ascii="Verdana" w:hAnsi="Verdana" w:cs="Arial"/>
          <w:sz w:val="20"/>
          <w:szCs w:val="20"/>
        </w:rPr>
        <w:t>5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D38DC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Oskar-Patzelt-Stiftung wurde im Jahr 2008 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7" w:rsidRDefault="00F76D87">
      <w:r>
        <w:separator/>
      </w:r>
    </w:p>
  </w:endnote>
  <w:endnote w:type="continuationSeparator" w:id="0">
    <w:p w:rsidR="00F76D87" w:rsidRDefault="00F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1991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7" w:rsidRDefault="00F76D87">
      <w:r>
        <w:separator/>
      </w:r>
    </w:p>
  </w:footnote>
  <w:footnote w:type="continuationSeparator" w:id="0">
    <w:p w:rsidR="00F76D87" w:rsidRDefault="00F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203A8A"/>
    <w:rsid w:val="002302D2"/>
    <w:rsid w:val="002602A6"/>
    <w:rsid w:val="00266837"/>
    <w:rsid w:val="00283BF3"/>
    <w:rsid w:val="002A5862"/>
    <w:rsid w:val="002B62DB"/>
    <w:rsid w:val="002F3936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4174FC"/>
    <w:rsid w:val="00456B8F"/>
    <w:rsid w:val="00474F66"/>
    <w:rsid w:val="004D3711"/>
    <w:rsid w:val="004D4180"/>
    <w:rsid w:val="004D42C0"/>
    <w:rsid w:val="005021C8"/>
    <w:rsid w:val="005623C8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61A88"/>
    <w:rsid w:val="00B61E38"/>
    <w:rsid w:val="00B9039F"/>
    <w:rsid w:val="00BB0821"/>
    <w:rsid w:val="00BC0BAB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60920"/>
    <w:rsid w:val="00D70279"/>
    <w:rsid w:val="00D87E02"/>
    <w:rsid w:val="00DA13D5"/>
    <w:rsid w:val="00DC4373"/>
    <w:rsid w:val="00DE1244"/>
    <w:rsid w:val="00E156B9"/>
    <w:rsid w:val="00E31991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Stephanie Vagt</cp:lastModifiedBy>
  <cp:revision>7</cp:revision>
  <cp:lastPrinted>2016-08-15T09:07:00Z</cp:lastPrinted>
  <dcterms:created xsi:type="dcterms:W3CDTF">2016-08-15T08:57:00Z</dcterms:created>
  <dcterms:modified xsi:type="dcterms:W3CDTF">2016-10-12T14:26:00Z</dcterms:modified>
</cp:coreProperties>
</file>